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Pesquisa sobre Heteroptera na América Latina e no Caribe (Insecta, Hemiptera): status e perspectivas no século XXI </w:t>
      </w:r>
    </w:p>
    <w:p w:rsidR="00000000" w:rsidDel="00000000" w:rsidP="00000000" w:rsidRDefault="00000000" w:rsidRPr="00000000" w14:paraId="00000003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[máx. 30 palavras; em negrito; início da frase, nomes próprios e táxons com iniciais maiúsculas]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highlight w:val="cyan"/>
          <w:rtl w:val="0"/>
        </w:rPr>
        <w:t xml:space="preserve">[máx. 30 palabras; negrita; inicio de la frase, nombres propios y taxones con iniciales mayúsculas]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Dimitri Forero¹, Valentina Castro-Huertas², Hernán Morales-Devia³, Kim R. Barão⁴, Filipe Michels Bianchi⁵, Luiz Alexandre Campos⁵, Pablo M. Dellapé², María Cecilia Melo² &amp; Cristiano F. Schwertner⁶,⁷</w:t>
      </w:r>
    </w:p>
    <w:p w:rsidR="00000000" w:rsidDel="00000000" w:rsidP="00000000" w:rsidRDefault="00000000" w:rsidRPr="00000000" w14:paraId="00000007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[letra 12 pts; primeiro nome e sobrenome por extenso]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highlight w:val="cyan"/>
          <w:rtl w:val="0"/>
        </w:rPr>
        <w:t xml:space="preserve">[letra 12 pts; primer nombre y apellido por extenso]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¹Universidad Nacional de Colombia, Instituto de Ciencias Naturales, Carrera 30 No. 45-03, Bogotá, Colombia</w:t>
        <w:br w:type="textWrapping"/>
        <w:t xml:space="preserve">²UNLP, Consejo Nacional de Investigaciones Científicas y Técnicas (CONICET), División Entomología, Museo de La Plata, Paseo del Bosque, s/n, B1900FWA, La Plata, Buenos Aires, Argentina</w:t>
        <w:br w:type="textWrapping"/>
        <w:t xml:space="preserve">³Pontificia Universidad Javeriana, Biblioteca General Alfonso Borrero Cabal, S.J., Carrera 7 No. 40-62, Bogotá, Colombia</w:t>
        <w:br w:type="textWrapping"/>
        <w:t xml:space="preserve">⁴Universidade Federal de Alagoas, Laboratório de Sistemática e Diversidade de Artrópodes, Unidade Educacional Penedo, Campus Arapiraca, Avenida Beira Rio, s/n, 57200-000 Penedo, AL, Brazil</w:t>
        <w:br w:type="textWrapping"/>
        <w:t xml:space="preserve">⁵Universidade Federal do Rio Grande do Sul, Laboratório de Entomologia Sistemática, Departamento de Zoologia, Av. Bento Gonçalves 9500, 91501-970 Porto Alegre, RS, Brazil</w:t>
        <w:br w:type="textWrapping"/>
        <w:t xml:space="preserve">⁶Universidade Federal de São Paulo, Departamento de Ecologia e Biologia Evolutiva, Rua do Matão, nº 277, Cidade Universitária, 05508-090 São Paulo, SP, Brazil</w:t>
        <w:br w:type="textWrapping"/>
        <w:t xml:space="preserve">⁷Universidade de São Paulo, Museu de Zoologia, Avenida Nazaré, 481, Ipiranga, 04263-000 São Paulo, SP, Brazil</w:t>
      </w:r>
    </w:p>
    <w:p w:rsidR="00000000" w:rsidDel="00000000" w:rsidP="00000000" w:rsidRDefault="00000000" w:rsidRPr="00000000" w14:paraId="0000000B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E-mail: dforero@unal.edu.co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highlight w:val="cyan"/>
          <w:rtl w:val="0"/>
        </w:rPr>
        <w:t xml:space="preserve">[letra 10 pts; itálico]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highlight w:val="cyan"/>
          <w:rtl w:val="0"/>
        </w:rPr>
        <w:t xml:space="preserve">[letra 10 pts; itálico]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Resumo: </w:t>
      </w:r>
      <w:r w:rsidDel="00000000" w:rsidR="00000000" w:rsidRPr="00000000">
        <w:rPr>
          <w:rtl w:val="0"/>
        </w:rPr>
        <w:t xml:space="preserve">As regiões da América Latina e do Caribe (ALC) abrigam uma das áreas mais biodiversas do mundo, os Neotrópicos. Os percevejos (Hemiptera: Heteroptera) constituem um grupo diverso de insetos, com mais de 45.000 espécies, sendo particularmente numerosos na região Neotropical. Os percevejos desempenham um papel fundamental na dinâmica de ecossistemas naturais e modificados, com várias espécies de importância crítica para a agricultura e a saúde pública. Compilamos pesquisas sobre Heteroptera na ALC no período de 1998 a 2022 utilizando bases de dados bibliográficas. Foram analisados a produtividade, as redes de colaboração e os principais temas estudados. Um total de 1.651 estudos sobre Heteroptera provenientes da ALC foi encontrado, com crescimento contínuo, sendo 2021 o ano mais produtivo. Quatro categorias (Taxonomia de espécies atuais, Inventários faunísticos e novos registros, Biologia de espécies-praga e Ecologia de comunidades) representam a maior parte das pesquisas publicadas. Aproximadamente 60% dos registros avaliados correspondem a cinco famílias (Pentatomidae, Reduviidae, Coreidae, Miridae e Rhyparochromidae). Destacamos a necessidade de manter o foco na taxonomia de Heteroptera, pois isso permitirá avanços em outras áreas, como análises filogenéticas, biogeografia, ecologia e história natural, entre outras. Os resultados de nossas análises caracterizam o estado atual da heteropterologia na região, estabelecendo uma base para estudos futuros e esforços para ampliar o conhecimento sobre o grupo..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highlight w:val="cyan"/>
          <w:rtl w:val="0"/>
        </w:rPr>
        <w:t xml:space="preserve">[letra 12 pts; 250–350 palavras]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highlight w:val="cyan"/>
          <w:rtl w:val="0"/>
        </w:rPr>
        <w:t xml:space="preserve">[letra 12 pts; 250–350 palabras]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Palavras-chave: </w:t>
      </w:r>
      <w:r w:rsidDel="00000000" w:rsidR="00000000" w:rsidRPr="00000000">
        <w:rPr>
          <w:rtl w:val="0"/>
        </w:rPr>
        <w:t xml:space="preserve">Bibliometria, região Neotropical, bases de dados, lacunas de conhecimento, tendências históricas, redes de colaboração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[fonte 12 pt; mínimo 3, máximo 6, nomes próprios e táxons com iniciais maiúsculas]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highlight w:val="cyan"/>
          <w:rtl w:val="0"/>
        </w:rPr>
        <w:t xml:space="preserve">[letra 12 pts; mínimo 3, máximo 6, nombres propios y taxones con iniciales mayúsculas]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Financiamento</w:t>
      </w:r>
      <w:r w:rsidDel="00000000" w:rsidR="00000000" w:rsidRPr="00000000">
        <w:rPr>
          <w:rtl w:val="0"/>
        </w:rPr>
        <w:t xml:space="preserve">: CAPES, CNPQ, FAPERJ.</w:t>
      </w:r>
    </w:p>
    <w:p w:rsidR="00000000" w:rsidDel="00000000" w:rsidP="00000000" w:rsidRDefault="00000000" w:rsidRPr="00000000" w14:paraId="00000019">
      <w:pPr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[apenas siglas, todas as letras em maiúsculas]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highlight w:val="cyan"/>
          <w:rtl w:val="0"/>
        </w:rPr>
        <w:t xml:space="preserve">[sólo acrónimos, todas las letras en mayúsculas]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483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465385" cy="124252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5385" cy="12425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